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MONUMENTS AND THE MONUMENTALISATION OF MYTHS</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FRANCO FRESCURA</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Department of Architecture, University of Port Elizabeth</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PREAMBLE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culture of a nation, a people or a region is usually a composite of many factors. This may include the personal attributes of the people themselves, or their skill in a particular area of activity, or perhaps the physical nature of their countryside. These often give rise to a variety of symbols which, appropriate or note, become associated with the people concerned. In understanding these symbols, it is also necessary to examine the nature of symbology and the manner in which it can be used, and abused, in the creation of a group identity.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Firstly symbols are seldom better than stereotypical images which represent the interests of a small minority of citizens. Where these stereotypes are of a positive nature, the larger group will usually find little difficulty in identifying with them. For that reason Italians will portray themselves as being artistic, the Swiss as being punctual, the Japanese as being industrious and the Zulu as being proud. The reverse picture, however, is that stereotypical thinking lies at the root of racism and xenophobia. Up to comparatively recent times English children were being taught nursery rhymes charging that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"Taffy was a Welshman, Taffy was a thief ...",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whilst, at the same time, Enid Blyton was portraying black people as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Golliwogs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dressed in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Coon Carnival</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clothes. Other countries share in similar experiences, but direct their stereotypes against other communities. Humour is another medium for popularising negative religions, ethnic, racial or sexist images.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Secondly the meaning of symbols will vary from culture to culture, from region to region. Thus, to find popular approval, they need to find positive significance across a wide spectrum of groups co-existent within a society.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Thirdly, because symbols are open to interpretation, they are liable to manipulation. They can, for example, be harnessed in the creation of national myths, or in the justification of fictitious political claims. Dutch claims to land in Zululand during the mid-nineteenth century, for example, were based upon a forged document purportedly discovered intact in Retief's satchel nine months after he and his followers had been executed by the Zulu (Naidoo 1989). On the other hand, symbols can also be used as a unifying force, harnessing divergent vested interests to one common cause. Many of the symbols of Union after the 1920s were designed to promote the idea of a political unity between the two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great white races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Dutch and the English.</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Perhaps one of the most important components of a people's identity is their built environment, for at once it encapsulates their social hierarchies, religious beliefs, value systems and technological achievements. Many of their built forms, textures and decorations often find their way into popular composites of regional identity. This has been consistently abused by European architectural historians, both past and present, who persist in using the buildings of a society as a guideline as to its level of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cultural attainment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Such assessments are usually guided by overtly eurocentric value systems and are harnessed to prevailing political ideologies or prejudices. Contrary to overwhelming archaeological and anthropological evidence, the Rhodesian UDI regime, for example, consistently held that the Great Zimbabwe complex was the work of a mythical, long-vanished race. The idea that the Shona could have erected public works of such magnitude clearly gave credibility to Black Nationalist claims to the existence of an early and advanced Zimbabwean culture (Frederikse, 1982).</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Although such viewpoints are finding increasing international rejection, they retain a fertile breeding ground in South Africa through the work of two groups. The first is the National Monuments Council (NMC), a body dedicated to the preservation of old buildings and artifacts through a process of selective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monumentalisation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second is the South African Museum's Association (SAMA), whose work in the area of Open Air and so-called "cultural museums" has created a series of stereotypical displays aimed at reinforcing white prejudices and at romanticising rural Black poverty. Intentionally or otherwise, their end-product has provided white bigotry with a convenient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cultural</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home.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This does not mean that the sins of past generations of architectural historians and museum curators should be laid in perpetuity at the doors of the NMC and SAMA. This is plainly wrong, but for as long as both organisations retain their present unrepresentative structuring and outdated policies, they will continue to act as a strong link with the abuses of the past.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this paper I propose to examine three areas where the built environment has been used, and abused, by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cultural conservationists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in order to achieve sectarian political objectives. I do not intend to focus solely upon the work and policies of present structures, but I plan to include an analysis of some current architectural practices.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first tentative steps towards the preservation of South Africa's cultural heritage were taken in 1911 when the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Bushmen Relics Protection Act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was passed. This legislation was aimed specifically at the protection of San rock art as well as other archaeological artifacts. However an awareness that the historical built environment was a valuable and non-renewable resource which should also be protected, took somewhat longer to develop. In spite of the establishment of a Historical Monuments Commission (HMC) in 1923, existing legislation could do little to safeguard buildings and other artifacts from indiscriminate destruction. It was only in 1934 that the promulgation of the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Natural and Historical Monuments, Relics and Antiques Act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empowered the HMC to extend its protection to a wide range of artifacts, buildings and natural environments. As a result the HMC was able to embark in 1936 upon a relatively modest programme of monument declaration. This was continued with increasing vigour after 1969 when the HMC was replaced by the National Monuments Council (NMC), a body whose powers have since been extended by successive Acts of legislation promulgated in 1979, 1981 and 1988 respectively (NMC c1986). Up to 1988, a period of 52 years, 3581 buildings, sites and objects had been brought under the umbrella protection of the NMC (NMC 1988), an average of 66 proclamations per annum.</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work of the NMC has undoubtedly played a leading role in preventing the demolition of many individual historical buildings as well as the education of the general public on issues of environmental conservation. In more recent years however, the policy of monumentalisation as a conservation strategy has been subjected to increasing scrutiny (Frescura 1989, and others). There is a rising awareness among many architects, for example, that the character and charm of a built environment owes much to the use of a particular set of building elements (Theron c1984, Herholdt and Frescura 1987). These are often ephemeral and thus virtually impossible to preserve through the declaration of monuments. Also a wholistic, multi-disciplinary approach to architectural conservation dictates that buildings be read in their wider context. This may make the process of monumentalisation irrelevant unless accompanied by parallel adjustments at a social, environmental or technological level.</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MONUMENTALISATION: THE FAILURE OF ARCHITECTS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 comprehensive historiography of architectural histories over the past two hundred years has still to be written, although a number of interesting books on the subject have begun to appear in more recent times (Rykwert 1972). For our purposes however we can begin to identify three broad trends of thought.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first and older tradition follows a linear and compartmentalised pattern, favouring the creation of stylistic and historical stereotypes based upon aesthetic patterns. The failings of such thinking are self-evident and are best represented by the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monumental</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work of Bannister Fletcher, in all its nineteen comparative editions. His writings focused upon the outward forms of what Rapoport described in 1969 as a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high design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tradition, embodying the monuments of man, the works of the rich, the powerful, the idiosyncratic (Rapoport 1969).</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second propounds a view of history as a series of interacting synchronic flows responsive to socio-economic and technological forces and therefore accepts aesthetics as being but one of the significant features of an architecture. This thinking has typified many of the architectural histories written since the early 1970s and was probably initiated by the publication of Charles Jencks'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Modern Movements in Architecture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in 1973.</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more recent years a third school of thought has begun to emerge as the result of interaction with other disciplines such as anthropology, sociology, psychology and philosophy. It argues that the built environment is governed by a series of cognitive codes, a language perhaps, which permits us to accept an object, picture or building as a document to be read and interpreted as a series of contexturalised texts. The aesthetics of built form, material texture and decorative motif are therefore given equal place alongside the social and economic structures which they reflect (Alexander 1977, and others).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impact of such thinking upon the everyday practice of building is not easy to assess. Certainly the rise in recent years of a Post Modernist style of architectural expression seems to suggest that the writings of post-structuralist philosophers such as Derrida and Foucault (Sturrock 1979) have not gone unread. However the monumental and elitist quality of much of this work raises the question whether architects have truly understood the lessons that post-stucturalism has to offer, or whether the profession's rank and file have not merely adopted it as yet another aesthetic promulgated through the glossy journals. The implications of such attitudes in the field of culture conservation are understandably serious.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Architects, almost by definition and certainly by their very nature, build monuments. They build monuments to their clients, to their national heroes, to their kings, to their presidents, to their political systems, to corporate society and to their own egos. They build monuments because they are encouraged to do so from the very first moment they cross the threshold of an architectural school; because professional journals publish monumental work and sneer at anything smaller; because politicians and financiers reward them richly; because society lionises its monument builders and their power; and because, unlike other mortals, architects are given the opportunity of achieving immortality through their work. It is not for nothing that most architectural history books are littered with the monuments of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man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religious shrines, the corporate headquarters and the homes of the rich and powerful. They also reflect a strong patriarchal bent which views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architecture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as the product of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Man's Efforts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and relegates women to passive or neutral roles.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It does not come as a surprise therefore that the programme for the conservation of our historical architecture in South Africa has become involved primarily with the declaration of national monuments. Not only have architects always been influential in this movement but our society, indoctrinated by generations of architectural historians, has come to equate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monuments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with "history" and, more dangerously, with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culture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This is plainly wrong. Not only does this marginalise the role of the larger community in the processes of history, but it also ignores their habitat, which at the best of times, constitutes the major part of the built environment.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There are, of course, other reasons why South African society should have become so concerned with the creation of architectural monuments. In cases where a small elite controls political power it also controls the writing, and the rewriting, of history. At a time when South Africa's white minority found its legitimacy being challenged from a variety of sources, it is natural that it should have sought to reinforce its precarious claim to tenure by elevating examples of its material culture to the status of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monuments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Revel Fox (1987) perceived this in 1986 when he stated that: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"To achieve true cultural representation, our very history books will have to be rewritten. People, places and events with special significance for the different groups in our society will have to be identified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Like other architects of his generation, Fox is also bound by the concept of celebrating history through monuments. He went on to claim that: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there will be a need for new monuments to record the memories of past events".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(Fox 1987)</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This does not mean to say that, given a different set of circumstances, the concerns and reactions of the local Black community would differ radically from this standpoint. A good example of this was given in 1981 by Dr Edison Zvobgo when he was still Zimbabwe's Minister of Local Government and Housing. Giving evidence as an expert witness in a court case successfully instituted to save Jameson House, in Harare, from demolition, he stated that: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"Nations who go about destroying their own buildings are in danger of destroying their own heritage."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(Jackson 1989)</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this case Zvobgo was motivated by more than mere aesthetic considerations.  In 1896 some twenty-two Zimbabwean patriots, who had taken part in the national uprising against the white settlers, were tried and sentenced in the High Court which then sat in Jameson House. Thus, although the Zimbabwean experience differs from the South African one on a number of significant points, the intent of their conservation policy remains orientated towards the preservation and declaration of individual buildings as monuments. As such then, its outcome is very similar to our own. What makes this question particularly crucial in the South African context is the fact that rural and indigenous architecture is usually of a transient and ephemeral nature. This makes its conservation through a process of monumentalisation virtually impossible to achieve. Paul Oliver (1992, MS in press) recognised this when he suggested that, as in the Japanese example, the preservation of the vernacular was only possible through the preservation of the social processes which gave rise to it. It is in this context that regional museums should play an important role.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Thus, what is in question here is not the concept of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conservation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but the manner in which this is enforced through a policy of declaring monuments.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THE FAILURE OF THE BUREAUCRACY</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South Africa's record since 1936 in the declaration of national monuments does not appear to have ever been fully assessed. Thus the objectives and terms of reference of the HMC, formulated in the 1920s, and first applied in 1936, are still being implemented almost unchanged in the 1990s by the NMC.</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 survey of the HMC/NMC's records for the past 54 years makes for interesting reading (NMC 1969-1989). During this time some 2183-odd buildings, environments and objects have been declared.  Using these as a data base it was possible to arrive at a number of conclusions.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bias of HMC/NMC declarations has been almost overwhelmingly orientated towards the Cape, 75% of monuments being located in this province (figure 1). The remaining are distributed between the other three provinces, with the OFS containing less than 5%. It does not appear that a significant change of emphasis took place after 1974, when Brian Bassett joined the NMC as its Director (figure 2).</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Since 1936 the number of national monuments has increased at an exponential rate which exceeds the rise gradient of this country's GNP (figure 3). It is interesting to note that, in the fifteen years between 1974 and 1989, three times as many national monuments were declared as in the previous 38 years. This is probably attributable to growing public interest in the local historical built environment, although other factors of a political and economic nature have also played a strong contributory role.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Since 1936 the declaration of national monuments appears to have taken place in a number of well-defined stages (figure 4). The establishment of the HMC in 1934 was followed by a brief flurry of activity which covered the years between 1936 and 1939. This abated substantially after 1940 when the Second World War and the economic downturn which followed it gave national monuments relatively low priority in the national budget. A small number of declarations were made annually from 1950 onwards, but their quantity remained modest, averaging only eleven per annum up to 1969. During this time the bronze plaques, which the HMC/NMC places outside proclaimed buildings, cost œ13.10.0 (R27.00) apiece. This appears to have been a factor which affected the implementation of HMC policy to a great degree (Barrie Biermann, pers comm July 1989). From 1960, after South Africa left the Commonwealth, up to 1969, when the National Monuments Council was established, there was a gradual increase in the number of listings.  In 1969 the number of annual declarations rose sharply almost every year until 1983 when the number of proclamations more than trebled. This year marks a high point in the activities of the HMC/NMC and since then the number of proclamations has undergone a gradual decrease until 1989 when the number of declarations returned to the same levels experienced in the early 1970s.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Omer-Cooper has postulated that apartheid went through three historical stages of development (1987):</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both"/>
        <w:rPr>
          <w:b w:val="0"/>
          <w:i w:val="0"/>
          <w:smallCaps w:val="0"/>
          <w:strike w:val="0"/>
          <w:color w:val="000000"/>
          <w:sz w:val="24"/>
          <w:szCs w:val="24"/>
          <w:u w:val="none"/>
          <w:shd w:fill="auto" w:val="clear"/>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Baasskap</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Apartheid, which emerged in the 1930s with Afrikaner nationalism and was moulded by white supremacist ideologies from Europe. However it was only put forward as a formal political platform in 1948 by the Nationalist Party under Malan. It probably reached its climax in 1961 with the transformation of South Africa into an Afrikaner-ruled republic, although vestigial elements survive to the present day.</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both"/>
        <w:rPr>
          <w:b w:val="0"/>
          <w:i w:val="0"/>
          <w:smallCaps w:val="0"/>
          <w:strike w:val="0"/>
          <w:color w:val="000000"/>
          <w:sz w:val="24"/>
          <w:szCs w:val="24"/>
          <w:u w:val="none"/>
          <w:shd w:fill="auto" w:val="clear"/>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Separate Development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which sought to give racism a veneer of political legitimacy by formalizing colonial policies of land segregation and labour exploitation into an ideology of providing the various racial groups with separate-but-equal facilities. This began to break down after 1973 when changing social and political pressures inside the country began to bring about significant alterations in the South African economy.</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both"/>
        <w:rPr>
          <w:b w:val="0"/>
          <w:i w:val="0"/>
          <w:smallCaps w:val="0"/>
          <w:strike w:val="0"/>
          <w:color w:val="000000"/>
          <w:sz w:val="24"/>
          <w:szCs w:val="24"/>
          <w:u w:val="none"/>
          <w:shd w:fill="auto" w:val="clear"/>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Multi-racial co-option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which coincides with rising ANC political and military activity inside the country, widespread social unrest, increasing militarisation of white political structures, military adventurism both without and within the country, and attempts to impose increasingly repressive legislation and censorship as part of a policy of "Total Strategy".  This stage effectively came to an end in 1989.</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During this time the work of the HMC and its successor, the NMC may be seen to act as a broad reflection of these social patterns (figure 5). Before 1960 the declaration of national monuments was relatively low key, marked only by an initial spurt between 1936 and 1938 and another in 1950. The tempo picked up perceptibly after 1960, the year of Sharpeville and the State of Emergency, and showed a slow but marked upward trend over the next 15 years. This reached a high point in 1975 following the independence of Angola and Mocambique and the breaking of the so-called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Info Scandal</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In 1976, the year of the Soweto uprising, was relatively quiet for the NMC but the upward swing was picked up again the following year when Steve Biko was murdered and eighteen community organisations, including World newspaper, were banned. The period from 1976 onward was marked by the establishment of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bantustans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as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independent states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rising guerilla activity within the country and increased mass action. This also marks the high point in NMC activity, and between 1983 and 1987, the years of greatest governmental oppression yet in this country, the Council created 826 monuments, 38% of the total number ever declared. Significantly once the incidence of violence began to decrease in 1988, so then the number of declarations show a marked decrease, reaching levels comparable to those experienced in the late 1970s.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Although during the 1980s popular resistance to white minority government was countrywide, much of this struggle was focused upon the eastern Cape, a region generally acknowledged to be the heartland of ANC support. It is significant therefore that, when the number of monuments declared annually in this region between 1983 and 1987 is deducted from the national totals, the chart undergoes a dramatic transformation (figure 6). The all-time high of 1983 is reduced substantially while other totals, although still inflated, appear to be more in accord with the national average since 1978. Data indicates that in 1983 61% of monuments declared were located in the eastern Cape, whilst in 1987 this figure was 49%.</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distribution of monuments among various language and culture groups indicates that the work of the HMC/NMC has generally focused upon the material culture of white Dutch settlers to this country. 97% of all declared monuments reflect the values of the immigrant white community whilst the remaining 3% represent the art, architecture and artifacts of 84% of this country's population (figure 7). The majority of these were archaeological sites or the location of San wall art, thereby perpetuating white supremacist stereotypes of indigenous South Africans as a group of rural and poorly educated peasants possessing little material culture of any note. The full breakdown, in percentages, is as follows (figure 8):</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Dutch, including Voortrekker, Boer and Huguenot </w:t>
        <w:tab/>
        <w:tab/>
        <w:tab/>
        <w:t xml:space="preserve">33%</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Afrikaner, 20th century </w:t>
        <w:tab/>
        <w:tab/>
        <w:tab/>
        <w:tab/>
        <w:tab/>
        <w:tab/>
        <w:t xml:space="preserve">17%</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English, including 1820 settler, colonial and Empire</w:t>
        <w:tab/>
        <w:tab/>
        <w:tab/>
        <w:t xml:space="preserve">37%</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other white settler </w:t>
        <w:tab/>
        <w:tab/>
        <w:tab/>
        <w:tab/>
        <w:tab/>
        <w:tab/>
        <w:tab/>
        <w:t xml:space="preserve">10%</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Black, including all indigenous, Indian, Malay, Slave and Griqua</w:t>
        <w:tab/>
        <w:t xml:space="preserve">3%</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work of the HMC/NMC has focused predominantly upon urban sites, which comprised 66% of all declarations, while only 17% were located in rural areas (figure 9). 9% of the total were also concerned with structures which could be considered to have a modern or high technology component, the majority being bridges or an assortment of mechanical artifacts. Examples where colonial architecture has attempted to find an accommodation with local values and traditions have largely been ignored. This is probably indicative of a mind set which has not progressed much beyond a frontier mentality, seeking to emphasise immigrant roots and to justify a white presence at the tip of an otherwise "dark" continent. The extension of the national monument ethic to cover more recent architectural aesthetics, such as Modernism and Art Deco, seems to strengthen this viewpoint. It also seems to indicate that the majority of officials employed by the NMC originate predominantly from urban, white, bourgeois backgrounds and have little in the way of inclination, knowledge or travel budgets to venture beyond the city confines.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Analysis also indicates that 43% of declared national monuments, originally fulfilled a domestic function, while 11% were of a religious nature. The remainder served a wide variety of governmental, industrial and public uses (figure 10).</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76% of all national monuments were declared after 1974, when Brian Bassett joined the NMC. Understandably the concerns of the HMC/NMC have not remained consistent over the years and, in some cases, have shown extreme fluctuations. For example, all listed theaters and hotels were declared after 1974 although no artistic artifacts have been listed since that time. Similarly there has been a marked increase in the number of listed industrial buildings and urban domestic structures, while there has been a considerable drop in civic spaces, military installations, bridges, walls and natural features (figure 11).</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As a result of their enlightened work the HMC/NMC have managed to identify and immortalise some prime examples of South Africa's cultural heritage. These include the following architectural gems: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Hendrik Verwoerd's house at Betty's Bay, which was canonised in December 1973. Known as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Blaas 'n Bietjie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it is reputed to have been designed in 1961 by a man better known as the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Architect of Apartheid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Victoria Tower in Uitenhage, which apart from being an outstanding colonial landmark, is also the local Security Police Headquarters.</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birthplace of Gen Louis Botha, which is essentially a piece of barren ground, for the house, which was a simple mud-wall structure, has long since crumbled away.</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Among the artifacts which the HMC/NMC has lovingly preserved for posterity we can find nine pieces of artillery whose potential for demolition remains somewhat suspect; a historic hyena trap, found on the farm Bluegum House, in Graaff-Reinet; eighteen water pumps which, it is claimed, sum up the cultural heritage of Jagersfontein; and the first aircraft engine manufactured in South Africa, which is in the tender care of the Bloemfontein Museum.</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Monuments Council has also paid particular attention to the historic, and rapidly vanishing craft of digging holes in the ground. The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Aandenk</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borehole, at Allanridge, in the OFS, is reputed to be a prime example of its genre, whilst those wishing to fill in the railway tunnel at Waterval Boven will find their way barred by an angry crowd of NMC officials.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demands of horticultural historians and arboreal architects have also been well catered for. Van Riebeeck's hedge, in the Kirstenbosch Botanical Gardens, and remains of the same in Klaasen Road, Bishopscourt, are both listed monuments. Lovers of leafy lushness and luxuriant lumber can also visit an orange tree on the farm Groot Heksrivier, in Citrusdal, a fig tree on a vacant lot in Church Street, Durban, a raffia palm grove at Mtunzini, and an acacia tree in Pietermaritzburg. They can also mourn over one syringa tree stump in Rustenburg, which marks the spot where the Reformed Church of South Africa came into existence. Significantly, this piece of ground was donated to the conservative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Dopper</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community by an Indian businessman, a fact which is conveniently omitted from the NMC's public documentation (Oberholster, 1972).</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 interesting item which also features in the NMC's listings is the engraved names of Ensign Oloff Bergh, Captain Jesse Slotsbo and Ensign IT Rhenius at Vanrhynsdorp, which only goes to show that today's vandalism could potentially be tomorrow's national monument.</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contrast to this trivia, many sites important to the study of Black South African history have never been recognised. These include: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home of Solomon Plaatje</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Freedom Square, in Kliptown</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burial grounds of our early leaders, such as Nongqawuse, Bambata, Sekhukhuni, Hintsa, Nxele, Sandile, Sarhili, Jonker Afrikaner, Maharero, Dingiswayo, Dinizulu, Faku and many, many others</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Bulhoek, where the Israelites were massacred in 1920</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Gandhi's home at Phoenix, outside Durban</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historical settlement at Mapungubwe, near Messina, which dates back to 1050 AD and is the earliest capital of what was to become the Kingdom of Great Zimbabwe. Today this site is occupied by the SADF who use it as an artillery range.</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fortified villages of Mukumbani and Mutele, in Venda.</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Quite clearly therefore HMC/NMC policy since 1936 has been concerned predominantly with white, Dutch and Afrikaner domestic structures mostly located in the Cape Province. Significantly the number of declarations affecting the material culture of rural Afrikaners is particularly low. However a glimpse of Government policy since 1948, which used urbanisation as a means of reducing levels of rural white poverty, reveals that this lack is probably owed to a wish to submerge, or even falsify, the historical record of its own people.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It is also obvious that the policy of monumentalising our built environment has been used, consciously or unconsciously, to reinforce white political strategies and to create a myth of white legitimacy in the region at the time that this has been most challenged by indigenous groups wishing to cast off the burden of political and economic repression.</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relationship between the HMC/NMC and ruling political ideology also needs to be examined. Since 1969 about 71 people have been nominated to the NMC Council. Of these 54 have been Afrikaans speaking, only three have been women and two have originated from outside the white community. At least 12 are known members of the Broederbond, the secret society of Afrikaners which, since 1919, has sought to regulate South Africa's political, economic and cultural life. These include FD Conradie, Member of Parliament for Oranjezicht, membership number 4765; Prof JJ Oberholster, membership number 4444, who was a member of the Council from 1951 to 1976 and in 1977 became its first Executive Director; Dr WA Cruywagen, former Minister of Education; and H Sloet, Director of FAK (Wilkins and Strydom 1978). The latter two are still sitting members of the NMC Council and chair its two most important Committees.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OPEN AIR MUSEUMS</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idea of a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museum</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as a building dedicated to the specialised storage, preservation and display of natural and man-made curiosities is peculiar to nineteenth century European and Western society. In more recent times this concept has been extended to the preservation of the historical built environments, most notably in Europe and North America, where the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open air museum</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was initially developed. However, when local museums have attempted implement similar measures in the context of indigenous folk and vernacular architecture, they have been presented with a number of practical and moral dilemmas unique to the South African condition.</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Invariably such projects have fallen under the aegis of semi-governmental structures reflecting an ethnocentric philosophy. Almost without exception they have all been harnessed to the justify the ideological premises underlying the establishment of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ethnic</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Bantustans. Detractors of such a policy have charged that open-air museums are little better than vehicles for Nationalist propaganda. At best they are misrepresentative of the people and the culture they purport to promote; at worst they are demeaning to visitors and visited alike. Museum officials, on the other hand, point with some justification to the ephemeral nature of the indigenous built environment, and its rapid rate of destruction under the onslaught of modernisation.</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During the 1950s a number of South African artists and academics found themselves attracted by the rich textures and colours they perceived in the rural buildings of the Transvaal highveld about them. This was most particularly true of the sculptured architecture and decorative wall motifs of the South Ndebele living north of Pretoria and in the Bronkhorstspruit/Groblersdal districts, whose polychromatic wall art began to blossom from the 1930s onwards. Artists and architects, such as Barrie Biermann, Constance Stewart-Larrabee, Alexis Preller and Dick Findlay, all conducted regular forays into the Transvaal countryside and returned with sketch-books full of excitement and colour.</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the early 1950's Anton Meiring, professor of Architecture at Pretoria University, documented with his students the extended homestead of the Msiza family, a South Ndebele clan living on the farm Hartbeesfontein, some 10km north of Pretoria (Meiring, 1955). When this group was forced to resettle at the site of their present village near Klipgat, in the district of Odi, now renamed kwaMatabeleng locally, Meiring assisted them in their relocation, their choice of new land and the reconstruction of their new homes. He also obtained for them from the local Native Commissioner the promise of an annual grant of thatching grass, a practice which was maintained until the area fell under the newly- established Bophuthatswanan regional authority in 1977 (Frescura, 1981).</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It is a matter of some doubt today whether Meiring's assistance to the Msiza was philanthropically motivated or whether it represented a conscious attempt on his part at establishing their village as a tourist drawcard, thus effectively turning it into southern Africa's first open air cultural museum. Regardless of his motives however, once the Pretoria Tourism Board placed this location on their tour map, the photogenic architecture of kwaMatabeleng became one of the best documented in the region, appearing in an impressive array of architectural and geographical journals as far afield as France and the USA. It would be true to say therefore that this stream of publicity did much to popularise the South Ndebele's unique and highly graphic style of polychromatic wall decoration, giving it a measure of recognition as one of the world's more picturesque folk arts. It is also conceivable that the Ndebele artist was not unaware of this attention and responded to it with ever increasing flamboyance of colour and design. The implication therefore is also that current Ndebele wall art is, at least in part, the foster-child of a mass media based upon western values and culture.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Despite its subsequent tourist function, kwaMatabeleng began as and, to this very day remains, a viable and economically active community which retains the integrity of its cultural and architectural traditions.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Despite Meiring's efforts at kwaMatabeleng, it was to be nearly a quarter of a century before this experiment was repeated. This was initiated by the Transvaal Museum's Services who, in the mid-1970's, reconstructed a traditional Tsonga settlement at Eiland, near Tzaneen, in the northern Transvaal. The work was directed by anthropologists and archaeologists who were also responsible for the preliminary research and supporting documentation. Although the project suffers from a number of perceivable flaws in its make-up, Eiland must be considered technically to be one of the more successful experiments of its kind in this country to date (TPA Museum's Department, c1979). However, despite some obvious parallels with similar, and well accepted, museums overseas, the local example has been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read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by many foreign visitors in the context of an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apartheid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ideology, leading to accusations that its inhabitants were being made to act like "monkeys in cages".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However, any reservations which may be entertained about the Tsonga open air museum must pale into insignificance when it is compared with the project erected by the Middelburg Municipal Museum at Botshabelo, site of Alexander Merensky's second mission station. The buildings purport to illustrate a hypothetical evolutionary pattern in "traditional" South Ndebele dwelling forms which bear no relationship to either oral history or archaeological evidence, and are credible only to the uninitiated or to the most obtuse. The settlement follows no ordering of a recognisable historical nature and although each square centimeter of wall space has been dutifully decorated in careful emulation of South Ndebele art, the total result lies closer to a tourist- orientated pastiche than it does to the reality it claims to represent.</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It could be wished that a lack of architectural integrity is all the criticism that needs be leveled at Botshabelo. Regrettably it is the least of several. It would appear that when the Middelburg Museum builds, it builds forever. Thus, when the organisers of the project first erected their homestead walls, they dispensed with the traditional clay-and-cowdung mix, which requires permanent residence and regular maintenance, and opted for a cement plaster, which requires neither. However even their sensibilities must have been upset because within a couple of years all the surfaces had been replastered in a more acceptable material. The next problem they encountered lay in the fact that the South Ndebele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traditionally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inhabit their homesteads and that the ones at Botshabelo were singularly bereft of the signs and paraphernalia of human habitation. This dilemma was compounded by the fact that the museum is located within a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White's Only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holiday resort and lies in a region notorious for its political conservatism. This was rapidly resolved however and nowadays the Botshabelo South Ndebele Open Air Museum is inhabited on a daily eight-to-five basis by a group of women, only some of whom are South Ndebele, who bus in and out, and who wear traditional garb during the daytime but otherwise prefer designer jeans and mock-leather handbags.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Botshabelo is undoubtedly well-built, with many of the structures purporting to represent the modern era using absurdly well-measured 90ø angles and sharply plastered corners. It is also uncompromisingly clean, no doubt in an effort to facilitate research of serious scholars. As recently as June 1992 architectural students from the University of Port Elizabeth wishing to conduct field research on South Ndebele architecture, were advised by museum staff in Pretoria to avoid real farmsteads, where they would: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have to talk to people, and step into cow  (pats)."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but to rather visit Botshabelo, which was every bit as good as the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real</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thing.</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This advice was probably heeded by designer AH Barrett when, in 1985, he was commissioned by INTERSAPA to produce a definitive stamp issue for the abortive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bantustan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of KwaNdebele. Faced with the prospect of visiting real Ndebele farmers, meeting their families and depicting one of the richest architectural traditions in the world, Barratt opted instead to represent on his stamps the work of a young, white, Pretoria-trained anthropologist. The set, whose four top values all feature views of Botshabelo, was never issued as KwaNdebele's putative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independence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was delayed indefinitely by unprecedented public opposition to the Government.</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ARCHITECTURAL STYLE AND THE CREATION OF ETHNIC IDENTITY</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boundaries of what was to become known as the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Ciskei</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were established as early as 1913 when parts of this region were set aside by the Union Government for exclusive black settlement. During the 1960s and 1970s the area was used by South Africa as a dumping ground for the forcible resettlement of many black residents of the Cape. As a result some villages became little better than rural slums where unemployment and starvation were endemic. The Visagie survey of 1978 found that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kwashiokor</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affected 27% of all infants in the 6 to 23 month age group. As late as 1985 the Herman/Windham study established that between 1970 and 1983 approximately one infant in every five born in the region died before reaching the age of five. In 1980 the Quail Commission stated that 95% of Ciskeian workers in employment held jobs in white South Africa.</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When the Ciskei opted for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independence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in 1981 under the South African Government's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Bantustan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policy, it did so with the consent of only a small minority of its population and against the specific recommendations of its appointed consultants. In the process it inherited a legacy of poverty unequalled in modern-day southern Africa.</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Ciskei is also unique among South Africa's rural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homelands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in that it has absolutely no basis upon which to claim a separate ethnic, cultural or linguistic homogeneity. There is no distinctive Ciskeian identity, no separate Ciskeian culture, nor is there a Ciskeian language. Instead its people are intrinsically bound within a larger Xhosa identity and, in terms of the South African Government's ethnophobia, should have achieved independence as part of a larger Transkeian unit.</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If the want of a sound economic base to the region did little to deter the Ciskeian leadership from accepting independence, then the lack of a distinct ethnic identity would not have caused them too many sleepless nights either. Acting under the leadership of former President, the Honorable Chief Dr Lennox Sebe, they set about inventing one. This involved the proclamation of an annual holy day, somewhat akin in spirit to the Swazi first-fruits celebration. An audience was provided by the Ciskeian Civil Service, whose attendance was made compulsory under threat of dismissal. The site chosen for this festivity was on top of a mountain called Ntaba kaNdoda, and was the brainchild of Sebe himself, who conceived it in 1977 following a visit to Mount Massada, in Israel. The National Shrine, looking like an oversized African mask, cost some R860 000, and was funded by compulsory deductions made from the salaries of Civil Servants. Alongside it is incorporated a "Hero's Acre", in obvious emulation of a similar plot in Pretoria, and the alleged bones of Chief Maqoma, a Xhosa leader who opposed white colonial rule, were materialised from an unmarked grave on Robben Island and reinterred there. Finally the Ciskei was provided with a capital city, named Bisho. At the heart of this complex, costing some R158 million, are a huge sport stadium, a new Legislative Assembly, office blocks housing the Ciskeian civil service, the headquarters for the Security Police, and a Presidential palace (Vail, 1989). The architectural style chosen to embody the new Ciskeian spirit and sense of identity was Post-Modernism, a self-conscious aesthetic based upon a neo-classical grammar of building which originated in North America. The development of Bisho, the Ciskei's new capital, must then be viewed in the context of these factors. The town lies some six kilometers north of King William's Town on the main road linking the Cape to the Transkei and Natal. Its location was dictated by a wish on the part of the Ciskei to place an economic stranglehold upon the white community of King William's Town who, Democratic, Nationalist, Conservative and HNP party supporters alike, stood united against incorporation into the homeland. When questioned on the subject residents pointed, with some reason, to the Ciskei's long history of political and economic mismanagement: the location of a new hospital below the flood plain of the Keiskamma River by Israeli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experts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building of a multi-million Rand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international</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airport outside Bisho which has yet to be used; the proposed erection of an equally expensive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international</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hotel nearby; the purchase of a R36 million jet aircraft which could not obtain a permit to fly and was eventually sold as scrap for R10; and a string of internecine rifts, vigilante violence, attempted coups d'etat, military invasions and bribery scandals which have typified its administration.</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visitor approaching Bisho is immediately struck by the surrealistic image of a town rising abruptly out of the landscape. The odd juxtaposition of a stranded CBD, ready-made and unsupported by a residential component, against a backdrop of wide-open veld, is bizarre to say the least. As evening approaches, day-trippers disappear into the veld leaving the streets empty for the goats that amble along,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wending their weary way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from nowhere to nowhere.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Master Plan for the town has clearly been disregarded by the architects, as buildings jostle with each other, each clamoring for attention. Neighbours are rudely ignored and spaces between buildings carelessly abandoned to dust and litter.</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buildings are treated in the Post-Modern idiom, a style of architecture which is prescribed by the town's building regulations, making Bisho the world's first, and probably only, wholly post-modernist settlement.  Ironically, virtually no references are drawn from the region or Xhosa culture. Unimpeded by the constraints of an established urban setting and a sophisticated and critical audience, the architects have had a field day. Bisho is a town that is as unlovely as it is apparently unloved.  Perhaps Italo Calvino was right when he said that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a town without old buildings is like a man without a memory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but the problem with Bisho lies not only in its lack of old buildings but in the quality of the new.</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1981 the Ciskei also commissioned the construction of a Ciskei Museum of National Culture. Its American funders and various local experts advised that such a complex should focus upon job generation, the provision of alternative educational facilities, and the promotion of rural cottage crafts. They also advocated that it should be sited within an existing urban fabric, such as could be found at Keiskammahoek. Despite this Sebe decided that it should be located at Ntaba kaNdoda, as part of the National Shrine complex, and eighteen kilometers from the nearest population centres. Estimated to cost some R23 million, the project was abandoned in 1990, following the Ciskei's military coup, with little work having been completed. Its architect is now believed to be touting the project to the ANC in the Eastern Cape, albeit under a new title.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CONCLUSIONS</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One of the problems which faces the practice of architecture in South Africa today is its perceived status in a divided society. On the one side architects claim for themselves the license of artists, the skills of crafters, and the leadership of management. Architectural work, they claim, is apolitical. It should be adjudged on its aesthetic and technical merits, and sold on the open market to the highest bidder. On the other side the wider community is fully cognisant of the contributory role played by the built environment in their economic and political oppression. South African indigenous architecture is steeped in social, religious and mystical values, and thus the symbols and meanings of white architecture are known and understood at a far wider level than is generally appreciated.</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Few architects may claim with any honesty that the political import of the NMC's policies was not evident to them long before now. Similarly professional designers must have been aware that the post-modernist glories they were creating in Bisho were reinforcing the bitterness of a rural community long dispossessed of its land, its voice and its economic power. Yet, to the present day, the architectural profession persists in defending its involvement with both. The South Ndebele Museum at Botshabelo is not, strictly speaking, the work of professional designers, but the local community is unaware of this fine distinction and perceives that their own built environment has been plundered by architects for the benefit of white entrepreneurs. Architecture, therefore it is claimed, has become a tool for the oppression, the dispossession and the division of underprivileged communities.</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This attitude stands in sharp contrast to conditions in the village of KwaMatabeleng, which has not only retained control of its own built environment, but its residents have called in architectural consultants in order to exploit its obvious aesthetic charms to their larger economic benefit.</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a greater sense, these three examples exploit the built environment and misuse its symbols in order to create new myths and reinforce existing misconceptions. Here architecture is no longer seen as a means of housing the activities of a community, but rather as a strategy for establishing pseudo-ethnic identities serving the interests of cultural separation and exclusivity. Seen in these terms the built environment is reduced to a series of political symbols, to be used, abused, and manipulated by an elite able to afford the services of the specialist designer. Unfortunately the South African architectural profession has failed to learn the lessons of history: that the interests of architecture and those of political elitism are often synonymous.</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BIBLIOGRAPHY</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ALEXANDER, Christopher</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1977.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A Pattern Language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New York: Oxford University Press.</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BURCHELL, William J</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1953.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Travels in the Interior of Southern Africa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London: Batchworth Press. 315,316.</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CASSOU, Jean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Art and Confrontation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Greenwich, New York: Graphic Society. pp 8-9.</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ENCYCLOPAEDIA BRITANNICA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1947. Chicago: University of Chicago.</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FLETCHER, Bannister</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1961.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A History of Architecture on the Comparative Method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London: The Athlone Press.</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FOX, Revel</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1987.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Is There a Future for Our Past?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CONSERVING A HERITAGE. Editor Franco Frescura. Port Elizabeth: ISAA. p 66.</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FREDERIKSE, Julie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1982.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None but Ourselves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Johannesburg: Ravan.</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FRESCURA, Franco</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1981.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Kwa-Mapoch - An Ndebele Village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Johannesburg: ISAA Heritage Committee.</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1983.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Qobo Qobo: An Evaluation of Sites for Potential Cultural Development in the Ciskei</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First Interim Report. Johannesburg: CHORE.</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1989.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Who Needs Monuments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Juta's SA JOURNAL OF PROPERTY, Vol 5, No 2. 40-42.</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FRESCURA, Franco and RADFORD, Dennis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1984.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Keiskammahoek: A Report on its Historical and Conservational Potential</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Johannesburg: CHORE.</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HERHOLDT, Albrecht and FRESCURA, Franco</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1987.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Uitenhage Conservation Impact Study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Port Elizabeth: UPE.</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JACKSON, Peter</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1989.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Zimbabwe-Initiatives in the Conservation of Historic Buildings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Symposium of the International Union of Architects and the Society of Egyptian Architects, Cairo, 12-14 November 1989.</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JENKS, Charles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1973.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Modern Movements in Architecture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Harmondsworth, England: Penguin.</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MEIRING, AL</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1955.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The Amandebele of Pretoria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SA Architectural Record, April 1955. 26-35.</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NAIDOO, Jay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1989.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Tracking Down Historical Myths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Johannesburg: Donker.</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NATIONAL MONUMENTS COUNCIL</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1969-1989. Annual Reports Numbers 1 to 20. Cape Town: NMC.</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c1986.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The Aims, Functions and History of the National Monuments Council</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Cape Town: NMC.</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OBERHOLSTER, JJ</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1972.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The Historical Monuments of South Africa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Cape Town: Rembrandt van Rijn Foundation.</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OMER-COOPER, JD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1987.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History of South Africa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James Currey: London.</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RAPOPORT, Amos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1969.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House Form and Culture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New Jersey: Prentice-Hall.</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RYKWERT, Joseph</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1972.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On Adam's House in Paradise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New York: The Museum of Modern Art.</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STURROCK, John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1979.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Structuralism and Since - From Levy-Strauss to Derrida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THERON, Danie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1984.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19th Century Port Elizabeth</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Department of Architecture, UPE.</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TRANSVAAL MUSEUMS DEPARTMENT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c1979.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Tsonga Kraal</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VAIL, Leroy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1989.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The Creation of Tribalism in Southern Africa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London: James Currey.</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WILKINS, Ivor and STRYDOM, Hans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1978.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The Super-Afrikaners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Johannesburg: Jonathan Ball.</w:t>
      </w:r>
    </w:p>
    <w:sectPr>
      <w:pgSz w:h="15840" w:w="12240"/>
      <w:pgMar w:bottom="1440" w:top="1440" w:left="1319" w:right="131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720"/>
      </w:pPr>
      <w:rPr>
        <w:vertAlign w:val="baseline"/>
      </w:rPr>
    </w:lvl>
    <w:lvl w:ilvl="1">
      <w:start w:val="1"/>
      <w:numFmt w:val="bullet"/>
      <w:lvlText w:val="●"/>
      <w:lvlJc w:val="left"/>
      <w:pPr>
        <w:ind w:left="2520" w:hanging="720"/>
      </w:pPr>
      <w:rPr>
        <w:rFonts w:ascii="Noto Sans Symbols" w:cs="Noto Sans Symbols" w:eastAsia="Noto Sans Symbols" w:hAnsi="Noto Sans Symbols"/>
        <w:vertAlign w:val="baseline"/>
      </w:rPr>
    </w:lvl>
    <w:lvl w:ilvl="2">
      <w:start w:val="1"/>
      <w:numFmt w:val="decimal"/>
      <w:lvlText w:val="%3."/>
      <w:lvlJc w:val="left"/>
      <w:pPr>
        <w:ind w:left="3420" w:hanging="72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lvl w:ilvl="0">
      <w:start w:val="1"/>
      <w:numFmt w:val="bullet"/>
      <w:lvlText w:val="●"/>
      <w:lvlJc w:val="left"/>
      <w:pPr>
        <w:ind w:left="1440" w:hanging="72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72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72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